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BAB55" w14:textId="5742FA08" w:rsidR="00420A38" w:rsidRPr="00A72757" w:rsidRDefault="00420A38" w:rsidP="000049D8">
      <w:pPr>
        <w:pStyle w:val="Header"/>
        <w:tabs>
          <w:tab w:val="right" w:pos="5954"/>
        </w:tabs>
        <w:spacing w:after="240"/>
        <w:jc w:val="right"/>
        <w:rPr>
          <w:rFonts w:ascii="Calibri" w:hAnsi="Calibri"/>
          <w:b/>
          <w:bCs/>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343A3B">
        <w:rPr>
          <w:rFonts w:ascii="Calibri" w:hAnsi="Calibri"/>
          <w:color w:val="00558C"/>
          <w:sz w:val="24"/>
          <w:szCs w:val="24"/>
        </w:rPr>
        <w:t>VTS60-9.4.1</w:t>
      </w:r>
    </w:p>
    <w:p w14:paraId="28E8B352" w14:textId="77777777" w:rsidR="00D019CE" w:rsidRPr="007A395D" w:rsidRDefault="00D019CE" w:rsidP="00FE5674">
      <w:pPr>
        <w:pStyle w:val="BodyText"/>
        <w:tabs>
          <w:tab w:val="left" w:pos="2835"/>
        </w:tabs>
        <w:rPr>
          <w:rFonts w:ascii="Calibri" w:hAnsi="Calibri"/>
        </w:rPr>
      </w:pPr>
    </w:p>
    <w:p w14:paraId="023429A8" w14:textId="77777777"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262ED5D8" w14:textId="77777777"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6DCE81B5" w14:textId="77777777" w:rsidR="0080294B" w:rsidRPr="00B0084A" w:rsidRDefault="00C938AB"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End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2652DD1D" w14:textId="77777777" w:rsidR="0080294B" w:rsidRPr="00343A3B" w:rsidRDefault="00C938AB" w:rsidP="00037DF4">
      <w:pPr>
        <w:pStyle w:val="BodyText"/>
        <w:tabs>
          <w:tab w:val="left" w:pos="1843"/>
        </w:tabs>
        <w:rPr>
          <w:rFonts w:ascii="Calibri" w:hAnsi="Calibri"/>
          <w:lang w:val="sv-SE"/>
        </w:rPr>
      </w:pPr>
      <w:sdt>
        <w:sdtPr>
          <w:rPr>
            <w:rFonts w:ascii="Calibri" w:hAnsi="Calibri" w:cs="Arial"/>
            <w:b/>
            <w:lang w:val="sv-SE"/>
          </w:rPr>
          <w:id w:val="1358232040"/>
          <w14:checkbox>
            <w14:checked w14:val="0"/>
            <w14:checkedState w14:val="2612" w14:font="MS Gothic"/>
            <w14:uncheckedState w14:val="2610" w14:font="MS Gothic"/>
          </w14:checkbox>
        </w:sdtPr>
        <w:sdtEndPr/>
        <w:sdtContent>
          <w:r w:rsidR="00221E08" w:rsidRPr="00343A3B">
            <w:rPr>
              <w:rFonts w:ascii="MS Gothic" w:eastAsia="MS Gothic" w:hAnsi="MS Gothic" w:cs="Arial" w:hint="eastAsia"/>
              <w:b/>
              <w:lang w:val="sv-SE"/>
            </w:rPr>
            <w:t>☐</w:t>
          </w:r>
        </w:sdtContent>
      </w:sdt>
      <w:r w:rsidR="0080294B" w:rsidRPr="00343A3B">
        <w:rPr>
          <w:rFonts w:ascii="Calibri" w:hAnsi="Calibri" w:cs="Arial"/>
          <w:lang w:val="sv-SE"/>
        </w:rPr>
        <w:t xml:space="preserve"> ENAV</w:t>
      </w:r>
      <w:r w:rsidR="0080294B" w:rsidRPr="00343A3B">
        <w:rPr>
          <w:rFonts w:ascii="Calibri" w:hAnsi="Calibri" w:cs="Arial"/>
          <w:b/>
          <w:lang w:val="sv-SE"/>
        </w:rPr>
        <w:tab/>
      </w:r>
      <w:sdt>
        <w:sdtPr>
          <w:rPr>
            <w:rFonts w:ascii="Calibri" w:hAnsi="Calibri" w:cs="Arial"/>
            <w:b/>
            <w:lang w:val="sv-SE"/>
          </w:rPr>
          <w:id w:val="1574472571"/>
          <w14:checkbox>
            <w14:checked w14:val="1"/>
            <w14:checkedState w14:val="2612" w14:font="MS Gothic"/>
            <w14:uncheckedState w14:val="2610" w14:font="MS Gothic"/>
          </w14:checkbox>
        </w:sdtPr>
        <w:sdtEndPr/>
        <w:sdtContent>
          <w:r w:rsidR="00651B21" w:rsidRPr="00343A3B">
            <w:rPr>
              <w:rFonts w:ascii="MS Gothic" w:eastAsia="MS Gothic" w:hAnsi="MS Gothic" w:cs="Arial" w:hint="eastAsia"/>
              <w:b/>
              <w:lang w:val="sv-SE"/>
            </w:rPr>
            <w:t>☒</w:t>
          </w:r>
        </w:sdtContent>
      </w:sdt>
      <w:r w:rsidR="0080294B" w:rsidRPr="00343A3B">
        <w:rPr>
          <w:rFonts w:ascii="Calibri" w:hAnsi="Calibri" w:cs="Arial"/>
          <w:lang w:val="sv-SE"/>
        </w:rPr>
        <w:t xml:space="preserve"> </w:t>
      </w:r>
      <w:r w:rsidR="003D2DC1" w:rsidRPr="00343A3B">
        <w:rPr>
          <w:rFonts w:ascii="Calibri" w:hAnsi="Calibri" w:cs="Arial"/>
          <w:lang w:val="sv-SE"/>
        </w:rPr>
        <w:t>VTS</w:t>
      </w:r>
      <w:r w:rsidR="0080294B" w:rsidRPr="00343A3B">
        <w:rPr>
          <w:rFonts w:ascii="Calibri" w:hAnsi="Calibri" w:cs="Arial"/>
          <w:lang w:val="sv-SE"/>
        </w:rPr>
        <w:tab/>
      </w:r>
      <w:r w:rsidR="0080294B" w:rsidRPr="00343A3B">
        <w:rPr>
          <w:rFonts w:ascii="Calibri" w:hAnsi="Calibri" w:cs="Arial"/>
          <w:lang w:val="sv-SE"/>
        </w:rPr>
        <w:tab/>
      </w:r>
      <w:r w:rsidR="0080294B" w:rsidRPr="00343A3B">
        <w:rPr>
          <w:rFonts w:ascii="Calibri" w:hAnsi="Calibri" w:cs="Arial"/>
          <w:lang w:val="sv-SE"/>
        </w:rPr>
        <w:tab/>
      </w:r>
      <w:r w:rsidR="0080294B" w:rsidRPr="00343A3B">
        <w:rPr>
          <w:rFonts w:ascii="Calibri" w:hAnsi="Calibri" w:cs="Arial"/>
          <w:lang w:val="sv-SE"/>
        </w:rPr>
        <w:tab/>
      </w:r>
      <w:r w:rsidR="0080294B" w:rsidRPr="00343A3B">
        <w:rPr>
          <w:rFonts w:ascii="Calibri" w:hAnsi="Calibri" w:cs="Arial"/>
          <w:lang w:val="sv-SE"/>
        </w:rPr>
        <w:tab/>
      </w:r>
      <w:sdt>
        <w:sdtPr>
          <w:rPr>
            <w:rFonts w:ascii="Calibri" w:hAnsi="Calibri" w:cs="Arial"/>
            <w:b/>
            <w:lang w:val="sv-SE"/>
          </w:rPr>
          <w:id w:val="1701977003"/>
          <w14:checkbox>
            <w14:checked w14:val="0"/>
            <w14:checkedState w14:val="2612" w14:font="MS Gothic"/>
            <w14:uncheckedState w14:val="2610" w14:font="MS Gothic"/>
          </w14:checkbox>
        </w:sdtPr>
        <w:sdtEndPr/>
        <w:sdtContent>
          <w:r w:rsidR="00110203" w:rsidRPr="00343A3B">
            <w:rPr>
              <w:rFonts w:ascii="MS Gothic" w:eastAsia="MS Gothic" w:hAnsi="MS Gothic" w:cs="Arial" w:hint="eastAsia"/>
              <w:b/>
              <w:lang w:val="sv-SE"/>
            </w:rPr>
            <w:t>☐</w:t>
          </w:r>
        </w:sdtContent>
      </w:sdt>
      <w:r w:rsidR="00110203" w:rsidRPr="00343A3B">
        <w:rPr>
          <w:rFonts w:ascii="Calibri" w:hAnsi="Calibri" w:cs="Arial"/>
          <w:lang w:val="sv-SE"/>
        </w:rPr>
        <w:t xml:space="preserve"> </w:t>
      </w:r>
      <w:r w:rsidR="0080294B" w:rsidRPr="00343A3B">
        <w:rPr>
          <w:rFonts w:ascii="Calibri" w:hAnsi="Calibri" w:cs="Arial"/>
          <w:lang w:val="sv-SE"/>
        </w:rPr>
        <w:t>Information</w:t>
      </w:r>
    </w:p>
    <w:p w14:paraId="53F96BCA" w14:textId="77777777" w:rsidR="0080294B" w:rsidRPr="00343A3B" w:rsidRDefault="0080294B" w:rsidP="00FE5674">
      <w:pPr>
        <w:pStyle w:val="BodyText"/>
        <w:tabs>
          <w:tab w:val="left" w:pos="2835"/>
        </w:tabs>
        <w:rPr>
          <w:rFonts w:ascii="Calibri" w:hAnsi="Calibri"/>
          <w:lang w:val="sv-SE"/>
        </w:rPr>
      </w:pPr>
    </w:p>
    <w:p w14:paraId="22A8FE73" w14:textId="1CC6547E" w:rsidR="00A446C9" w:rsidRPr="00343A3B" w:rsidRDefault="00A446C9" w:rsidP="00FE5674">
      <w:pPr>
        <w:pStyle w:val="BodyText"/>
        <w:tabs>
          <w:tab w:val="left" w:pos="2835"/>
        </w:tabs>
        <w:rPr>
          <w:rFonts w:ascii="Calibri" w:hAnsi="Calibri"/>
          <w:lang w:val="sv-SE"/>
        </w:rPr>
      </w:pPr>
      <w:r w:rsidRPr="00343A3B">
        <w:rPr>
          <w:rFonts w:ascii="Calibri" w:hAnsi="Calibri"/>
          <w:b/>
          <w:bCs/>
          <w:color w:val="00558C"/>
          <w:sz w:val="24"/>
          <w:szCs w:val="24"/>
          <w:lang w:val="sv-SE"/>
        </w:rPr>
        <w:t>Agenda item</w:t>
      </w:r>
      <w:r w:rsidR="00037DF4" w:rsidRPr="00343A3B">
        <w:rPr>
          <w:rFonts w:ascii="Calibri" w:hAnsi="Calibri"/>
          <w:lang w:val="sv-SE"/>
        </w:rPr>
        <w:t xml:space="preserve"> </w:t>
      </w:r>
      <w:r w:rsidR="00037DF4" w:rsidRPr="007A395D">
        <w:rPr>
          <w:rStyle w:val="FootnoteReference"/>
          <w:rFonts w:ascii="Calibri" w:hAnsi="Calibri"/>
          <w:sz w:val="22"/>
        </w:rPr>
        <w:footnoteReference w:id="2"/>
      </w:r>
      <w:r w:rsidR="001C44A3" w:rsidRPr="00343A3B">
        <w:rPr>
          <w:rFonts w:ascii="Calibri" w:hAnsi="Calibri"/>
          <w:lang w:val="sv-SE"/>
        </w:rPr>
        <w:tab/>
      </w:r>
      <w:r w:rsidR="0080294B" w:rsidRPr="00343A3B">
        <w:rPr>
          <w:rFonts w:ascii="Calibri" w:hAnsi="Calibri"/>
          <w:lang w:val="sv-SE"/>
        </w:rPr>
        <w:tab/>
      </w:r>
      <w:r w:rsidR="0080294B" w:rsidRPr="00343A3B">
        <w:rPr>
          <w:rFonts w:ascii="Calibri" w:hAnsi="Calibri"/>
          <w:lang w:val="sv-SE"/>
        </w:rPr>
        <w:tab/>
      </w:r>
      <w:r w:rsidR="00343A3B">
        <w:rPr>
          <w:rFonts w:ascii="Calibri" w:hAnsi="Calibri"/>
          <w:lang w:val="sv-SE"/>
        </w:rPr>
        <w:t>9.4</w:t>
      </w:r>
    </w:p>
    <w:p w14:paraId="483641FE" w14:textId="77777777"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p>
    <w:p w14:paraId="648E7A4C" w14:textId="4B9F9516" w:rsidR="0080294B" w:rsidRDefault="00362CD9" w:rsidP="00651B21">
      <w:pPr>
        <w:pStyle w:val="BodyText"/>
        <w:tabs>
          <w:tab w:val="left" w:pos="2835"/>
        </w:tabs>
        <w:rPr>
          <w:rFonts w:ascii="Calibri" w:hAnsi="Calibri"/>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250D25" w:rsidRPr="00250D25">
        <w:t>ICS Technologies S.p.A</w:t>
      </w:r>
      <w:r w:rsidR="000D452A">
        <w:t>, Dmitry Rostopshin, Nazzareno Romandini</w:t>
      </w:r>
    </w:p>
    <w:p w14:paraId="48F6AB52" w14:textId="77777777" w:rsidR="00651B21" w:rsidRPr="007A395D" w:rsidRDefault="00651B21" w:rsidP="00651B21">
      <w:pPr>
        <w:pStyle w:val="BodyText"/>
        <w:tabs>
          <w:tab w:val="left" w:pos="2835"/>
        </w:tabs>
        <w:rPr>
          <w:rFonts w:ascii="Calibri" w:hAnsi="Calibri"/>
        </w:rPr>
      </w:pPr>
    </w:p>
    <w:p w14:paraId="3A175057" w14:textId="77777777" w:rsidR="00774387" w:rsidRDefault="00C938AB">
      <w:pPr>
        <w:pStyle w:val="Title"/>
      </w:pPr>
      <w:r>
        <w:t>Proposal to Strengthen Climate Resilience Requirements in Guideline G1111-3</w:t>
      </w:r>
    </w:p>
    <w:p w14:paraId="2B71F47F" w14:textId="77777777" w:rsidR="00774387" w:rsidRDefault="00C938AB">
      <w:pPr>
        <w:pStyle w:val="Heading1"/>
      </w:pPr>
      <w:r>
        <w:t>Summary</w:t>
      </w:r>
    </w:p>
    <w:p w14:paraId="4DBD6C46" w14:textId="77777777" w:rsidR="00774387" w:rsidRDefault="00C938AB">
      <w:pPr>
        <w:pStyle w:val="BodyText"/>
      </w:pPr>
      <w:r>
        <w:t>This paper proposes limited amendments to IALA Guideline G1111-3 Producing Requirements for Radar to ensure that environmental and robustness requirements take account, where relevant, of changing exposure to extreme weather over the service life of a radar installation. The amendments introduce a site-specific, risk-based approach and clarify requirements for operation, survival and recovery.</w:t>
      </w:r>
    </w:p>
    <w:p w14:paraId="76EFA5D9" w14:textId="77777777" w:rsidR="00774387" w:rsidRDefault="00C938AB">
      <w:pPr>
        <w:pStyle w:val="Heading2"/>
      </w:pPr>
      <w:r>
        <w:t>Purpose of the document</w:t>
      </w:r>
    </w:p>
    <w:p w14:paraId="62BA6FAA" w14:textId="77777777" w:rsidR="00774387" w:rsidRDefault="00C938AB">
      <w:pPr>
        <w:pStyle w:val="BodyText"/>
      </w:pPr>
      <w:r>
        <w:t>The purpose of this paper is to invite the VTS Committee to consider the proposed amendments when Guideline G1111-3 is next reviewed.</w:t>
      </w:r>
    </w:p>
    <w:p w14:paraId="255AB416" w14:textId="77777777" w:rsidR="00774387" w:rsidRDefault="00C938AB">
      <w:pPr>
        <w:pStyle w:val="Heading2"/>
      </w:pPr>
      <w:r>
        <w:t>Related documents</w:t>
      </w:r>
    </w:p>
    <w:p w14:paraId="23BB75FA" w14:textId="77777777" w:rsidR="00774387" w:rsidRDefault="00C938AB">
      <w:pPr>
        <w:pStyle w:val="BodyText"/>
      </w:pPr>
      <w:r>
        <w:t>IALA Guideline G1111-3 Producing Requirements for Radar, Edition 1.0, December 2022.</w:t>
      </w:r>
    </w:p>
    <w:p w14:paraId="69A9C452" w14:textId="77777777" w:rsidR="00774387" w:rsidRDefault="00C938AB">
      <w:pPr>
        <w:pStyle w:val="BodyText"/>
      </w:pPr>
      <w:r>
        <w:t>IALA Guideline G1150 Establishing, Planning and Implementing a VTS.</w:t>
      </w:r>
    </w:p>
    <w:p w14:paraId="27EB3B05" w14:textId="5D5E43AF" w:rsidR="0066138E" w:rsidRPr="0066138E" w:rsidRDefault="0066138E" w:rsidP="0066138E">
      <w:pPr>
        <w:pStyle w:val="BodyText"/>
      </w:pPr>
      <w:r>
        <w:rPr>
          <w:lang w:val="en-US"/>
        </w:rPr>
        <w:t>T</w:t>
      </w:r>
      <w:r w:rsidRPr="0066138E">
        <w:t xml:space="preserve">he IALA Sustainability Workshop in Dun Laoghaire, Ireland, </w:t>
      </w:r>
      <w:r>
        <w:t>WORKSHOP REPORT</w:t>
      </w:r>
    </w:p>
    <w:p w14:paraId="39154F07" w14:textId="77777777" w:rsidR="00774387" w:rsidRDefault="00C938AB">
      <w:pPr>
        <w:pStyle w:val="BodyText"/>
      </w:pPr>
      <w:r>
        <w:t>IPCC Climate Change 2023: Synthesis Report.</w:t>
      </w:r>
    </w:p>
    <w:p w14:paraId="018597D0" w14:textId="77777777" w:rsidR="00774387" w:rsidRDefault="00C938AB">
      <w:pPr>
        <w:pStyle w:val="Heading1"/>
      </w:pPr>
      <w:r>
        <w:t>Background</w:t>
      </w:r>
    </w:p>
    <w:p w14:paraId="7D1DB8FC" w14:textId="77777777" w:rsidR="00774387" w:rsidRDefault="00C938AB">
      <w:pPr>
        <w:pStyle w:val="BodyText"/>
      </w:pPr>
      <w:r>
        <w:t>Guideline G1111-3 already requires the environmental conditions of the VTS area to be described, including normal conditions over twelve months and extreme events. It also addresses operational and survival wind limits, lightning, icing, access to radar sites and the possible use of radomes. This provides a sound basis, but the Guideline does not explicitly require the environmental design basis to consider how exposure may change over the expected life of the installation.</w:t>
      </w:r>
    </w:p>
    <w:p w14:paraId="784EA51D" w14:textId="0576DCCE" w:rsidR="00774387" w:rsidRDefault="00C938AB">
      <w:pPr>
        <w:pStyle w:val="BodyText"/>
      </w:pPr>
      <w:r>
        <w:t xml:space="preserve">Radar sites are often located in exposed coastal areas and remain in service for many years. </w:t>
      </w:r>
      <w:r w:rsidR="00494AF0">
        <w:t>C</w:t>
      </w:r>
      <w:r>
        <w:t>limate change is already affecting weather and climate extremes in every region. Evidence of observed changes in heavy precipitation and tropical cyclones</w:t>
      </w:r>
      <w:r w:rsidR="00494AF0">
        <w:t xml:space="preserve"> </w:t>
      </w:r>
      <w:r>
        <w:t>has strengthened [4]. The IALA sustainability work</w:t>
      </w:r>
      <w:r w:rsidR="0066138E">
        <w:t>shop</w:t>
      </w:r>
      <w:r>
        <w:t xml:space="preserve"> also identified </w:t>
      </w:r>
      <w:r>
        <w:lastRenderedPageBreak/>
        <w:t>climate resilience and the use of climate projections and local risk assessments in asset specifications as relevant work [3].</w:t>
      </w:r>
    </w:p>
    <w:p w14:paraId="7C2141CB" w14:textId="77777777" w:rsidR="00774387" w:rsidRDefault="00C938AB">
      <w:pPr>
        <w:pStyle w:val="BodyText"/>
      </w:pPr>
      <w:r>
        <w:t>Loss of radar service during or following a severe event may occur when traffic monitoring, emergency coordination and recovery operations are particularly important. The requirement should nevertheless remain proportionate and should apply only where the risk assessment identifies a relevant exposure.</w:t>
      </w:r>
    </w:p>
    <w:p w14:paraId="22E5F71E" w14:textId="77777777" w:rsidR="00774387" w:rsidRDefault="00C938AB">
      <w:pPr>
        <w:pStyle w:val="Heading1"/>
      </w:pPr>
      <w:r>
        <w:t>Discussion</w:t>
      </w:r>
    </w:p>
    <w:p w14:paraId="6B4602CD" w14:textId="77777777" w:rsidR="00774387" w:rsidRDefault="00C938AB">
      <w:pPr>
        <w:pStyle w:val="BodyText"/>
      </w:pPr>
      <w:r>
        <w:t>The proposed amendments are intended to:</w:t>
      </w:r>
    </w:p>
    <w:p w14:paraId="77E6688E" w14:textId="77777777" w:rsidR="00774387" w:rsidRDefault="00C938AB">
      <w:pPr>
        <w:pStyle w:val="Bullet1"/>
      </w:pPr>
      <w:r>
        <w:t>require a site-specific environmental design basis that considers the expected service life of the installation;</w:t>
      </w:r>
    </w:p>
    <w:p w14:paraId="5D4619FA" w14:textId="77777777" w:rsidR="00774387" w:rsidRDefault="00C938AB">
      <w:pPr>
        <w:pStyle w:val="Bullet1"/>
      </w:pPr>
      <w:r>
        <w:t>distinguish between required operation, safe shutdown, survival and recovery;</w:t>
      </w:r>
    </w:p>
    <w:p w14:paraId="655F788A" w14:textId="77777777" w:rsidR="00774387" w:rsidRDefault="00C938AB">
      <w:pPr>
        <w:pStyle w:val="Bullet1"/>
      </w:pPr>
      <w:r>
        <w:t>consider the complete radar installation rather than the antenna alone; and</w:t>
      </w:r>
    </w:p>
    <w:p w14:paraId="1AA0357B" w14:textId="77777777" w:rsidR="00774387" w:rsidRDefault="00C938AB">
      <w:pPr>
        <w:pStyle w:val="Bullet1"/>
      </w:pPr>
      <w:r>
        <w:t>avoid universal design values that may be unsuitable for different regions.</w:t>
      </w:r>
    </w:p>
    <w:p w14:paraId="0F306004" w14:textId="77777777" w:rsidR="00774387" w:rsidRDefault="00C938AB">
      <w:pPr>
        <w:pStyle w:val="BodyText"/>
      </w:pPr>
      <w:r>
        <w:t>Relevant hazards may include tropical cyclones (including hurricanes and typhoons), extreme winds and gusts, heavy precipitation, storm surge and flooding, lightning, icing, extreme heat and combinations of these hazards. The selection of hazards and design values should be based on local risk, applicable standards, available climate projections and the operational criticality of the radar site.</w:t>
      </w:r>
    </w:p>
    <w:p w14:paraId="4DE032FF" w14:textId="77777777" w:rsidR="00774387" w:rsidRDefault="00C938AB">
      <w:pPr>
        <w:pStyle w:val="BodyText"/>
      </w:pPr>
      <w:r>
        <w:t>The following additions are proposed. New text is shown in red.</w:t>
      </w:r>
    </w:p>
    <w:p w14:paraId="2D114DA9" w14:textId="77777777" w:rsidR="00774387" w:rsidRDefault="00C938AB">
      <w:pPr>
        <w:pStyle w:val="Heading2"/>
      </w:pPr>
      <w:r>
        <w:t>Proposed amendments</w:t>
      </w:r>
    </w:p>
    <w:p w14:paraId="0BDD0AE3" w14:textId="77777777" w:rsidR="00774387" w:rsidRDefault="00C938AB">
      <w:pPr>
        <w:pStyle w:val="Heading3"/>
      </w:pPr>
      <w:r>
        <w:t>Section 3.2.3 - Handling of environmental conditions</w:t>
      </w:r>
    </w:p>
    <w:p w14:paraId="39F76CAC" w14:textId="77777777" w:rsidR="00774387" w:rsidRDefault="00C938AB">
      <w:pPr>
        <w:pStyle w:val="BodyText"/>
      </w:pPr>
      <w:r>
        <w:t>Insert the following paragraph after the first paragraph:</w:t>
      </w:r>
    </w:p>
    <w:p w14:paraId="6410E3E4" w14:textId="77777777" w:rsidR="00774387" w:rsidRDefault="00C938AB">
      <w:pPr>
        <w:pStyle w:val="BodyText"/>
      </w:pPr>
      <w:r>
        <w:rPr>
          <w:color w:val="FF0000"/>
        </w:rPr>
        <w:t>The environmental design basis should not be limited to historical normal conditions. Where relevant to the location and expected service life of the radar system, the VTS Provider should consider credible changes in the frequency, intensity and combination of extreme weather conditions. This should be informed by the risk assessment, applicable national requirements, available climate projections and local experience.</w:t>
      </w:r>
    </w:p>
    <w:p w14:paraId="770380C2" w14:textId="77777777" w:rsidR="00774387" w:rsidRDefault="00C938AB">
      <w:pPr>
        <w:pStyle w:val="Heading3"/>
      </w:pPr>
      <w:r>
        <w:t>Section 3.3.7 - Robustness, availability, and serviceability</w:t>
      </w:r>
    </w:p>
    <w:p w14:paraId="5C6F97FF" w14:textId="77777777" w:rsidR="00774387" w:rsidRDefault="00C938AB">
      <w:pPr>
        <w:pStyle w:val="BodyText"/>
      </w:pPr>
      <w:r>
        <w:t>Amend the heading and first sentence as follows:</w:t>
      </w:r>
    </w:p>
    <w:p w14:paraId="402705DA" w14:textId="77777777" w:rsidR="00774387" w:rsidRDefault="00C938AB">
      <w:pPr>
        <w:pStyle w:val="BodyText"/>
      </w:pPr>
      <w:r>
        <w:t>3.3.7</w:t>
      </w:r>
      <w:r>
        <w:tab/>
        <w:t xml:space="preserve">ROBUSTNESS, </w:t>
      </w:r>
      <w:r>
        <w:rPr>
          <w:color w:val="FF0000"/>
        </w:rPr>
        <w:t xml:space="preserve">RESILIENCE, </w:t>
      </w:r>
      <w:r>
        <w:t>AVAILABILITY, AND SERVICEABILITY</w:t>
      </w:r>
    </w:p>
    <w:p w14:paraId="34184B78" w14:textId="77777777" w:rsidR="00774387" w:rsidRDefault="00C938AB">
      <w:pPr>
        <w:pStyle w:val="BodyText"/>
      </w:pPr>
      <w:r>
        <w:t xml:space="preserve">The radar systems should be designed taking robustness, </w:t>
      </w:r>
      <w:r>
        <w:rPr>
          <w:color w:val="FF0000"/>
        </w:rPr>
        <w:t xml:space="preserve">resilience, </w:t>
      </w:r>
      <w:r>
        <w:t>availability, and serviceability into account.</w:t>
      </w:r>
    </w:p>
    <w:p w14:paraId="23141B2E" w14:textId="77777777" w:rsidR="00774387" w:rsidRDefault="00C938AB">
      <w:pPr>
        <w:pStyle w:val="BodyText"/>
      </w:pPr>
      <w:r>
        <w:t>Insert the following text after the first sentence:</w:t>
      </w:r>
    </w:p>
    <w:p w14:paraId="55636C5B" w14:textId="77777777" w:rsidR="00774387" w:rsidRDefault="00C938AB">
      <w:pPr>
        <w:pStyle w:val="BodyText"/>
      </w:pPr>
      <w:r>
        <w:rPr>
          <w:color w:val="FF0000"/>
        </w:rPr>
        <w:t>Resilience in this context includes the ability of the radar installation to withstand and recover from disruptive environmental events while maintaining or restoring the required radar service.</w:t>
      </w:r>
    </w:p>
    <w:p w14:paraId="6240C52F" w14:textId="77777777" w:rsidR="00774387" w:rsidRDefault="00C938AB">
      <w:pPr>
        <w:pStyle w:val="BodyText"/>
      </w:pPr>
      <w:r>
        <w:rPr>
          <w:color w:val="FF0000"/>
        </w:rPr>
        <w:t>Where the risk assessment identifies significant exposure to extreme weather, requirements should address the complete radar installation, including the antenna and supporting structure, transceiver and processing equipment, equipment shelters, power supply, communication links, cooling and environmental control systems.</w:t>
      </w:r>
    </w:p>
    <w:p w14:paraId="69D98C04" w14:textId="77777777" w:rsidR="00774387" w:rsidRDefault="00C938AB">
      <w:pPr>
        <w:pStyle w:val="BodyText"/>
      </w:pPr>
      <w:r>
        <w:rPr>
          <w:color w:val="FF0000"/>
        </w:rPr>
        <w:t>The requirements should define, as applicable:</w:t>
      </w:r>
    </w:p>
    <w:p w14:paraId="59DD5D87" w14:textId="77777777" w:rsidR="00774387" w:rsidRDefault="00C938AB">
      <w:pPr>
        <w:pStyle w:val="Bullet1"/>
      </w:pPr>
      <w:r>
        <w:rPr>
          <w:color w:val="FF0000"/>
        </w:rPr>
        <w:t>the conditions within which the radar service is required to remain operational and any permitted degradation;</w:t>
      </w:r>
    </w:p>
    <w:p w14:paraId="1C59E959" w14:textId="77777777" w:rsidR="00774387" w:rsidRDefault="00C938AB">
      <w:pPr>
        <w:pStyle w:val="Bullet1"/>
      </w:pPr>
      <w:r>
        <w:rPr>
          <w:color w:val="FF0000"/>
        </w:rPr>
        <w:t>the conditions and arrangements for safe shutdown and restart;</w:t>
      </w:r>
    </w:p>
    <w:p w14:paraId="4059C4FD" w14:textId="77777777" w:rsidR="00774387" w:rsidRDefault="00C938AB">
      <w:pPr>
        <w:pStyle w:val="Bullet1"/>
      </w:pPr>
      <w:r>
        <w:rPr>
          <w:color w:val="FF0000"/>
        </w:rPr>
        <w:lastRenderedPageBreak/>
        <w:t>survival criteria for essential equipment and supporting infrastructure;</w:t>
      </w:r>
    </w:p>
    <w:p w14:paraId="4EE6E697" w14:textId="77777777" w:rsidR="00774387" w:rsidRDefault="00C938AB">
      <w:pPr>
        <w:pStyle w:val="Bullet1"/>
      </w:pPr>
      <w:r>
        <w:rPr>
          <w:color w:val="FF0000"/>
        </w:rPr>
        <w:t>protection against water ingress, flooding, lightning, wind-driven debris and loss of utilities;</w:t>
      </w:r>
    </w:p>
    <w:p w14:paraId="0B29100A" w14:textId="77777777" w:rsidR="00774387" w:rsidRDefault="00C938AB">
      <w:pPr>
        <w:pStyle w:val="Bullet1"/>
      </w:pPr>
      <w:r>
        <w:rPr>
          <w:color w:val="FF0000"/>
        </w:rPr>
        <w:t>remote monitoring and fault identification; and</w:t>
      </w:r>
    </w:p>
    <w:p w14:paraId="415919AA" w14:textId="77777777" w:rsidR="00774387" w:rsidRDefault="00C938AB">
      <w:pPr>
        <w:pStyle w:val="Bullet1"/>
      </w:pPr>
      <w:r>
        <w:rPr>
          <w:color w:val="FF0000"/>
        </w:rPr>
        <w:t>the required recovery time, access arrangements, spares and other provisions for restoration.</w:t>
      </w:r>
    </w:p>
    <w:p w14:paraId="123A53EB" w14:textId="77777777" w:rsidR="00774387" w:rsidRDefault="00C938AB">
      <w:pPr>
        <w:pStyle w:val="BodyText"/>
      </w:pPr>
      <w:r>
        <w:rPr>
          <w:color w:val="FF0000"/>
        </w:rPr>
        <w:t>These requirements should be proportionate to the operational criticality of the radar site and take account of overlapping radar coverage and other available surveillance sources.</w:t>
      </w:r>
    </w:p>
    <w:p w14:paraId="62B22AF2" w14:textId="77777777" w:rsidR="00774387" w:rsidRDefault="00C938AB">
      <w:pPr>
        <w:pStyle w:val="Heading3"/>
      </w:pPr>
      <w:r>
        <w:t>Section 3.3.7.1 - Antenna robustness against wind load</w:t>
      </w:r>
    </w:p>
    <w:p w14:paraId="6826782D" w14:textId="77777777" w:rsidR="00774387" w:rsidRDefault="00C938AB">
      <w:pPr>
        <w:pStyle w:val="BodyText"/>
      </w:pPr>
      <w:r>
        <w:t>Insert the following paragraphs after the first paragraph:</w:t>
      </w:r>
    </w:p>
    <w:p w14:paraId="26DD56A0" w14:textId="77777777" w:rsidR="00774387" w:rsidRDefault="00C938AB">
      <w:pPr>
        <w:pStyle w:val="BodyText"/>
      </w:pPr>
      <w:r>
        <w:rPr>
          <w:color w:val="FF0000"/>
        </w:rPr>
        <w:t>For radar sites exposed to tropical cyclones or other severe wind events, the operational and survival wind limits should be established from a site-specific assessment and applicable structural standards. The assessment should consider peak gusts, wind direction, turbulence, terrain and nearby structures, tower and antenna interaction, wind-driven debris, and credible changes in the wind hazard over the expected service life of the installation.</w:t>
      </w:r>
    </w:p>
    <w:p w14:paraId="145110C5" w14:textId="77777777" w:rsidR="00774387" w:rsidRDefault="00C938AB">
      <w:pPr>
        <w:pStyle w:val="BodyText"/>
      </w:pPr>
      <w:r>
        <w:rPr>
          <w:color w:val="FF0000"/>
        </w:rPr>
        <w:t>Where operation cannot be maintained, requirements should define the conditions for controlled shutdown, securing of rotating equipment, post-event inspection and safe return to service.</w:t>
      </w:r>
    </w:p>
    <w:p w14:paraId="04FD047A" w14:textId="77777777" w:rsidR="00774387" w:rsidRDefault="00C938AB">
      <w:pPr>
        <w:pStyle w:val="Heading1"/>
      </w:pPr>
      <w:r>
        <w:t>Conclusion</w:t>
      </w:r>
    </w:p>
    <w:p w14:paraId="79A1648E" w14:textId="77777777" w:rsidR="00774387" w:rsidRDefault="00C938AB">
      <w:pPr>
        <w:pStyle w:val="BodyText"/>
      </w:pPr>
      <w:r>
        <w:t>The proposed text does not prescribe a higher design class for all VTS radars. It requires the VTS Provider to determine when enhanced resilience is justified and to translate the result into measurable procurement and acceptance requirements. This maintains the technology-neutral and risk-based approach of Guideline G1111-3.</w:t>
      </w:r>
    </w:p>
    <w:p w14:paraId="3F9B8A2E" w14:textId="77777777" w:rsidR="00774387" w:rsidRDefault="00C938AB">
      <w:pPr>
        <w:pStyle w:val="Heading1"/>
      </w:pPr>
      <w:r>
        <w:t>References</w:t>
      </w:r>
    </w:p>
    <w:p w14:paraId="4D10E472" w14:textId="77777777" w:rsidR="00774387" w:rsidRDefault="00C938AB">
      <w:pPr>
        <w:pStyle w:val="Reference"/>
      </w:pPr>
      <w:r>
        <w:t>IALA Guideline G1111-3, Producing Requirements for Radar, Edition 1.0, December 2022.</w:t>
      </w:r>
    </w:p>
    <w:p w14:paraId="1C18CC2C" w14:textId="77777777" w:rsidR="00774387" w:rsidRDefault="00C938AB">
      <w:pPr>
        <w:pStyle w:val="Reference"/>
      </w:pPr>
      <w:r>
        <w:t>IALA Guideline G1150, Establishing, Planning and Implementing a VTS.</w:t>
      </w:r>
    </w:p>
    <w:p w14:paraId="250CD410" w14:textId="77777777" w:rsidR="0066138E" w:rsidRPr="0066138E" w:rsidRDefault="0066138E" w:rsidP="0066138E">
      <w:pPr>
        <w:pStyle w:val="Reference"/>
      </w:pPr>
      <w:r>
        <w:rPr>
          <w:lang w:val="en-US"/>
        </w:rPr>
        <w:t>T</w:t>
      </w:r>
      <w:r w:rsidRPr="0066138E">
        <w:t xml:space="preserve">he IALA Sustainability Workshop in Dun Laoghaire, Ireland, </w:t>
      </w:r>
      <w:r>
        <w:t>WORKSHOP REPORT</w:t>
      </w:r>
    </w:p>
    <w:p w14:paraId="62A710E5" w14:textId="77777777" w:rsidR="00774387" w:rsidRDefault="00C938AB">
      <w:pPr>
        <w:pStyle w:val="Reference"/>
      </w:pPr>
      <w:r>
        <w:t>IPCC, Climate Change 2023: Synthesis Report, Contribution of Working Groups I, II and III to the Sixth Assessment Report of the Intergovernmental Panel on Climate Change.</w:t>
      </w:r>
    </w:p>
    <w:p w14:paraId="3E401C00" w14:textId="77777777" w:rsidR="00774387" w:rsidRDefault="00C938AB">
      <w:pPr>
        <w:pStyle w:val="Heading1"/>
      </w:pPr>
      <w:r>
        <w:t>Action requested of the Committee</w:t>
      </w:r>
    </w:p>
    <w:p w14:paraId="3C7EFAAD" w14:textId="77777777" w:rsidR="00774387" w:rsidRDefault="00C938AB">
      <w:pPr>
        <w:pStyle w:val="BodyText"/>
      </w:pPr>
      <w:r>
        <w:t>The Committee is requested to:</w:t>
      </w:r>
    </w:p>
    <w:p w14:paraId="6E638E0B" w14:textId="77777777" w:rsidR="00774387" w:rsidRDefault="00C938AB">
      <w:pPr>
        <w:pStyle w:val="List1"/>
      </w:pPr>
      <w:r>
        <w:t>consider the proposed amendments to sections 3.2.3, 3.3.7 and 3.3.7.1 of Guideline G1111-3;</w:t>
      </w:r>
    </w:p>
    <w:p w14:paraId="7C4D3BF8" w14:textId="77777777" w:rsidR="00774387" w:rsidRDefault="00C938AB">
      <w:pPr>
        <w:pStyle w:val="List1"/>
      </w:pPr>
      <w:r>
        <w:t>agree that resilience to climate-related extreme weather should be addressed through site-specific and risk-based requirements where relevant; and</w:t>
      </w:r>
    </w:p>
    <w:p w14:paraId="3A02A296" w14:textId="77777777" w:rsidR="00774387" w:rsidRDefault="00C938AB">
      <w:pPr>
        <w:pStyle w:val="List1"/>
      </w:pPr>
      <w:r>
        <w:t>include the proposed text in the next revision of Guideline G1111-3, with editorial amendments as appropriate.</w:t>
      </w:r>
    </w:p>
    <w:sectPr w:rsidR="00774387" w:rsidSect="0082480E">
      <w:headerReference w:type="default"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75686" w14:textId="77777777" w:rsidR="00C938AB" w:rsidRDefault="00C938AB" w:rsidP="00362CD9">
      <w:r>
        <w:separator/>
      </w:r>
    </w:p>
  </w:endnote>
  <w:endnote w:type="continuationSeparator" w:id="0">
    <w:p w14:paraId="2D4BEDA7" w14:textId="77777777" w:rsidR="00C938AB" w:rsidRDefault="00C938AB"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d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B1724" w14:textId="77777777" w:rsidR="003351C4" w:rsidRDefault="003351C4" w:rsidP="004533B7">
    <w:pPr>
      <w:pStyle w:val="Footerportrait"/>
    </w:pPr>
  </w:p>
  <w:p w14:paraId="3213951F" w14:textId="0914673C" w:rsidR="004533B7" w:rsidRPr="00C907DF" w:rsidRDefault="00494AF0" w:rsidP="004533B7">
    <w:pPr>
      <w:pStyle w:val="Footerportrait"/>
    </w:pPr>
    <w:fldSimple w:instr=" STYLEREF  Title  \* MERGEFORMAT ">
      <w:r w:rsidR="00343A3B">
        <w:t>Proposal to Strengthen Climate Resilience Requirements in Guideline G1111-3</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344CA652" w14:textId="77777777"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5D758" w14:textId="77777777" w:rsidR="00637047" w:rsidRDefault="00637047" w:rsidP="00637047">
    <w:pPr>
      <w:pStyle w:val="Footerportrait"/>
    </w:pPr>
    <w:r>
      <w:tab/>
    </w:r>
  </w:p>
  <w:p w14:paraId="33433A17" w14:textId="77777777" w:rsidR="00637047" w:rsidRPr="00C907DF" w:rsidRDefault="004C7B71" w:rsidP="00637047">
    <w:pPr>
      <w:pStyle w:val="Footerportrait"/>
    </w:pPr>
    <w:fldSimple w:instr=" STYLEREF  Title  \* MERGEFORMAT ">
      <w:r>
        <w:t>REVALIDATION TRAINING</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35184625" w14:textId="77777777" w:rsidR="00637047" w:rsidRPr="00ED2A8D" w:rsidRDefault="00637047" w:rsidP="00637047">
    <w:pPr>
      <w:pStyle w:val="Footer"/>
    </w:pPr>
  </w:p>
  <w:p w14:paraId="7F47BF59" w14:textId="7777777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27855" w14:textId="77777777" w:rsidR="00C938AB" w:rsidRDefault="00C938AB" w:rsidP="00362CD9">
      <w:r>
        <w:separator/>
      </w:r>
    </w:p>
  </w:footnote>
  <w:footnote w:type="continuationSeparator" w:id="0">
    <w:p w14:paraId="42A4CCB2" w14:textId="77777777" w:rsidR="00C938AB" w:rsidRDefault="00C938AB" w:rsidP="00362CD9">
      <w:r>
        <w:continuationSeparator/>
      </w:r>
    </w:p>
  </w:footnote>
  <w:footnote w:id="1">
    <w:p w14:paraId="06B14626" w14:textId="77777777"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59DCDC32" w14:textId="77777777" w:rsidR="00037DF4" w:rsidRPr="00037DF4" w:rsidRDefault="00037DF4">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23840" w14:textId="7777777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BC837" w14:textId="77777777"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77ECACEF" w14:textId="77777777" w:rsidR="00BC2334" w:rsidRDefault="00BC2334" w:rsidP="007A395D">
    <w:pPr>
      <w:pStyle w:val="Header"/>
      <w:jc w:val="center"/>
    </w:pPr>
  </w:p>
  <w:p w14:paraId="4DB34D8D" w14:textId="77777777"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5"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6"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1"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4"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2659919">
    <w:abstractNumId w:val="0"/>
  </w:num>
  <w:num w:numId="2" w16cid:durableId="119539159">
    <w:abstractNumId w:val="16"/>
  </w:num>
  <w:num w:numId="3" w16cid:durableId="1611087084">
    <w:abstractNumId w:val="2"/>
  </w:num>
  <w:num w:numId="4" w16cid:durableId="798760555">
    <w:abstractNumId w:val="22"/>
  </w:num>
  <w:num w:numId="5" w16cid:durableId="1677421003">
    <w:abstractNumId w:val="14"/>
  </w:num>
  <w:num w:numId="6" w16cid:durableId="800151737">
    <w:abstractNumId w:val="9"/>
  </w:num>
  <w:num w:numId="7" w16cid:durableId="697317610">
    <w:abstractNumId w:val="20"/>
  </w:num>
  <w:num w:numId="8" w16cid:durableId="1871382619">
    <w:abstractNumId w:val="7"/>
  </w:num>
  <w:num w:numId="9" w16cid:durableId="462694074">
    <w:abstractNumId w:val="18"/>
  </w:num>
  <w:num w:numId="10" w16cid:durableId="1175194848">
    <w:abstractNumId w:val="15"/>
  </w:num>
  <w:num w:numId="11" w16cid:durableId="501551650">
    <w:abstractNumId w:val="17"/>
  </w:num>
  <w:num w:numId="12" w16cid:durableId="1986734095">
    <w:abstractNumId w:val="25"/>
  </w:num>
  <w:num w:numId="13" w16cid:durableId="949700748">
    <w:abstractNumId w:val="4"/>
  </w:num>
  <w:num w:numId="14" w16cid:durableId="981811312">
    <w:abstractNumId w:val="10"/>
  </w:num>
  <w:num w:numId="15" w16cid:durableId="390734982">
    <w:abstractNumId w:val="5"/>
  </w:num>
  <w:num w:numId="16" w16cid:durableId="961810561">
    <w:abstractNumId w:val="3"/>
  </w:num>
  <w:num w:numId="17" w16cid:durableId="1523125402">
    <w:abstractNumId w:val="8"/>
  </w:num>
  <w:num w:numId="18" w16cid:durableId="263347873">
    <w:abstractNumId w:val="21"/>
  </w:num>
  <w:num w:numId="19" w16cid:durableId="1235970303">
    <w:abstractNumId w:val="24"/>
  </w:num>
  <w:num w:numId="20" w16cid:durableId="487401802">
    <w:abstractNumId w:val="6"/>
  </w:num>
  <w:num w:numId="21" w16cid:durableId="1001811380">
    <w:abstractNumId w:val="19"/>
  </w:num>
  <w:num w:numId="22" w16cid:durableId="1215508541">
    <w:abstractNumId w:val="13"/>
  </w:num>
  <w:num w:numId="23" w16cid:durableId="1795098208">
    <w:abstractNumId w:val="23"/>
  </w:num>
  <w:num w:numId="24" w16cid:durableId="935796462">
    <w:abstractNumId w:val="12"/>
  </w:num>
  <w:num w:numId="25" w16cid:durableId="296879252">
    <w:abstractNumId w:val="11"/>
  </w:num>
  <w:num w:numId="26" w16cid:durableId="201215105">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398B"/>
    <w:rsid w:val="00036B9E"/>
    <w:rsid w:val="00037DF4"/>
    <w:rsid w:val="00044677"/>
    <w:rsid w:val="000461BB"/>
    <w:rsid w:val="0004700E"/>
    <w:rsid w:val="00057FCA"/>
    <w:rsid w:val="00070C13"/>
    <w:rsid w:val="000715C9"/>
    <w:rsid w:val="00084F33"/>
    <w:rsid w:val="00086F7B"/>
    <w:rsid w:val="000A77A7"/>
    <w:rsid w:val="000B1707"/>
    <w:rsid w:val="000C1B3E"/>
    <w:rsid w:val="000C349E"/>
    <w:rsid w:val="000C619E"/>
    <w:rsid w:val="000C71D0"/>
    <w:rsid w:val="000D452A"/>
    <w:rsid w:val="000D6ED1"/>
    <w:rsid w:val="000F5965"/>
    <w:rsid w:val="000F68B5"/>
    <w:rsid w:val="00110203"/>
    <w:rsid w:val="00110AE7"/>
    <w:rsid w:val="00113F81"/>
    <w:rsid w:val="001241C8"/>
    <w:rsid w:val="00135038"/>
    <w:rsid w:val="001529ED"/>
    <w:rsid w:val="001706A1"/>
    <w:rsid w:val="00177F4D"/>
    <w:rsid w:val="00180DDA"/>
    <w:rsid w:val="001834AB"/>
    <w:rsid w:val="00192895"/>
    <w:rsid w:val="00195474"/>
    <w:rsid w:val="001B2A2D"/>
    <w:rsid w:val="001B737D"/>
    <w:rsid w:val="001C22E7"/>
    <w:rsid w:val="001C44A3"/>
    <w:rsid w:val="001C77BB"/>
    <w:rsid w:val="001D01C4"/>
    <w:rsid w:val="001E0E15"/>
    <w:rsid w:val="001F528A"/>
    <w:rsid w:val="001F704E"/>
    <w:rsid w:val="001F79F8"/>
    <w:rsid w:val="00201722"/>
    <w:rsid w:val="00201A0A"/>
    <w:rsid w:val="002125B0"/>
    <w:rsid w:val="00221E08"/>
    <w:rsid w:val="00237D7C"/>
    <w:rsid w:val="00243228"/>
    <w:rsid w:val="00243829"/>
    <w:rsid w:val="00250D25"/>
    <w:rsid w:val="00251483"/>
    <w:rsid w:val="00255CAA"/>
    <w:rsid w:val="0025741F"/>
    <w:rsid w:val="00264305"/>
    <w:rsid w:val="00283691"/>
    <w:rsid w:val="0028607B"/>
    <w:rsid w:val="0028672C"/>
    <w:rsid w:val="00286FEF"/>
    <w:rsid w:val="002A0346"/>
    <w:rsid w:val="002A0929"/>
    <w:rsid w:val="002A4487"/>
    <w:rsid w:val="002B49E9"/>
    <w:rsid w:val="002C632E"/>
    <w:rsid w:val="002D3E8B"/>
    <w:rsid w:val="002D4575"/>
    <w:rsid w:val="002D5C0C"/>
    <w:rsid w:val="002E03D1"/>
    <w:rsid w:val="002E10AD"/>
    <w:rsid w:val="002E6B74"/>
    <w:rsid w:val="002E6FCA"/>
    <w:rsid w:val="003148A2"/>
    <w:rsid w:val="00315147"/>
    <w:rsid w:val="003351C4"/>
    <w:rsid w:val="00336AA9"/>
    <w:rsid w:val="00343A3B"/>
    <w:rsid w:val="0035240B"/>
    <w:rsid w:val="0035243F"/>
    <w:rsid w:val="00356CD0"/>
    <w:rsid w:val="00362CD9"/>
    <w:rsid w:val="003761CA"/>
    <w:rsid w:val="0038049E"/>
    <w:rsid w:val="00380DAF"/>
    <w:rsid w:val="003972CE"/>
    <w:rsid w:val="003A7F6E"/>
    <w:rsid w:val="003B2635"/>
    <w:rsid w:val="003B28F5"/>
    <w:rsid w:val="003B7B7D"/>
    <w:rsid w:val="003C54CB"/>
    <w:rsid w:val="003C5915"/>
    <w:rsid w:val="003C7A2A"/>
    <w:rsid w:val="003D25A2"/>
    <w:rsid w:val="003D2DC1"/>
    <w:rsid w:val="003D69D0"/>
    <w:rsid w:val="003E66E8"/>
    <w:rsid w:val="003F2918"/>
    <w:rsid w:val="003F430E"/>
    <w:rsid w:val="003F6024"/>
    <w:rsid w:val="00405095"/>
    <w:rsid w:val="0041088C"/>
    <w:rsid w:val="0041230E"/>
    <w:rsid w:val="00420A38"/>
    <w:rsid w:val="00426DB3"/>
    <w:rsid w:val="00431B19"/>
    <w:rsid w:val="0044211C"/>
    <w:rsid w:val="004533B7"/>
    <w:rsid w:val="004661AD"/>
    <w:rsid w:val="004860AB"/>
    <w:rsid w:val="00494AF0"/>
    <w:rsid w:val="004A7D7B"/>
    <w:rsid w:val="004C7B71"/>
    <w:rsid w:val="004D1D85"/>
    <w:rsid w:val="004D3C3A"/>
    <w:rsid w:val="004E1CD1"/>
    <w:rsid w:val="004F7616"/>
    <w:rsid w:val="0050690E"/>
    <w:rsid w:val="005107EB"/>
    <w:rsid w:val="00521345"/>
    <w:rsid w:val="00526DF0"/>
    <w:rsid w:val="00534452"/>
    <w:rsid w:val="00545CC4"/>
    <w:rsid w:val="00551FFF"/>
    <w:rsid w:val="0055423D"/>
    <w:rsid w:val="00556ABA"/>
    <w:rsid w:val="005607A2"/>
    <w:rsid w:val="0056093D"/>
    <w:rsid w:val="00570FB3"/>
    <w:rsid w:val="0057198B"/>
    <w:rsid w:val="00573CFE"/>
    <w:rsid w:val="00593959"/>
    <w:rsid w:val="005969F2"/>
    <w:rsid w:val="00597FAE"/>
    <w:rsid w:val="005B2EDB"/>
    <w:rsid w:val="005B32A3"/>
    <w:rsid w:val="005C0D44"/>
    <w:rsid w:val="005C566C"/>
    <w:rsid w:val="005C7E69"/>
    <w:rsid w:val="005E12EC"/>
    <w:rsid w:val="005E262D"/>
    <w:rsid w:val="005E7612"/>
    <w:rsid w:val="005F23D3"/>
    <w:rsid w:val="005F7E20"/>
    <w:rsid w:val="00605E43"/>
    <w:rsid w:val="00612D5C"/>
    <w:rsid w:val="006153BB"/>
    <w:rsid w:val="00627496"/>
    <w:rsid w:val="00631DA8"/>
    <w:rsid w:val="006353E6"/>
    <w:rsid w:val="00635ADD"/>
    <w:rsid w:val="00637047"/>
    <w:rsid w:val="006448F3"/>
    <w:rsid w:val="00651B21"/>
    <w:rsid w:val="00653667"/>
    <w:rsid w:val="0066138E"/>
    <w:rsid w:val="006652C3"/>
    <w:rsid w:val="00690C65"/>
    <w:rsid w:val="00691CB8"/>
    <w:rsid w:val="00691FD0"/>
    <w:rsid w:val="00692148"/>
    <w:rsid w:val="0069443E"/>
    <w:rsid w:val="006A1A1E"/>
    <w:rsid w:val="006C1801"/>
    <w:rsid w:val="006C371B"/>
    <w:rsid w:val="006C5948"/>
    <w:rsid w:val="006E2121"/>
    <w:rsid w:val="006F2A74"/>
    <w:rsid w:val="006F359D"/>
    <w:rsid w:val="00701ED7"/>
    <w:rsid w:val="007118F5"/>
    <w:rsid w:val="00712AA4"/>
    <w:rsid w:val="007146C4"/>
    <w:rsid w:val="00721AA1"/>
    <w:rsid w:val="00724B67"/>
    <w:rsid w:val="00737B0A"/>
    <w:rsid w:val="00737F24"/>
    <w:rsid w:val="007547F8"/>
    <w:rsid w:val="00763925"/>
    <w:rsid w:val="00765622"/>
    <w:rsid w:val="0076588E"/>
    <w:rsid w:val="00770B6C"/>
    <w:rsid w:val="00774296"/>
    <w:rsid w:val="00774387"/>
    <w:rsid w:val="00774730"/>
    <w:rsid w:val="00783FEA"/>
    <w:rsid w:val="007926DC"/>
    <w:rsid w:val="007A395D"/>
    <w:rsid w:val="007C346C"/>
    <w:rsid w:val="007D63E3"/>
    <w:rsid w:val="007F32F2"/>
    <w:rsid w:val="0080294B"/>
    <w:rsid w:val="0082480E"/>
    <w:rsid w:val="00844BD6"/>
    <w:rsid w:val="00845838"/>
    <w:rsid w:val="00850293"/>
    <w:rsid w:val="00851373"/>
    <w:rsid w:val="00851BA6"/>
    <w:rsid w:val="0085654D"/>
    <w:rsid w:val="00856CEB"/>
    <w:rsid w:val="00857C3C"/>
    <w:rsid w:val="00861160"/>
    <w:rsid w:val="00861801"/>
    <w:rsid w:val="0086654F"/>
    <w:rsid w:val="008702A8"/>
    <w:rsid w:val="0087239B"/>
    <w:rsid w:val="00892CA4"/>
    <w:rsid w:val="008A34E8"/>
    <w:rsid w:val="008A356F"/>
    <w:rsid w:val="008A3ECA"/>
    <w:rsid w:val="008A4653"/>
    <w:rsid w:val="008A4717"/>
    <w:rsid w:val="008A50CC"/>
    <w:rsid w:val="008A55C9"/>
    <w:rsid w:val="008A6D9E"/>
    <w:rsid w:val="008D1694"/>
    <w:rsid w:val="008D3606"/>
    <w:rsid w:val="008D79CB"/>
    <w:rsid w:val="008E28CC"/>
    <w:rsid w:val="008E58F1"/>
    <w:rsid w:val="008F07BC"/>
    <w:rsid w:val="00900844"/>
    <w:rsid w:val="00904066"/>
    <w:rsid w:val="00905C11"/>
    <w:rsid w:val="009126B1"/>
    <w:rsid w:val="00912806"/>
    <w:rsid w:val="009128BB"/>
    <w:rsid w:val="0092692B"/>
    <w:rsid w:val="00943E9C"/>
    <w:rsid w:val="00945EBA"/>
    <w:rsid w:val="00953F4D"/>
    <w:rsid w:val="00955907"/>
    <w:rsid w:val="00960BB8"/>
    <w:rsid w:val="00964F5C"/>
    <w:rsid w:val="00973B57"/>
    <w:rsid w:val="009831C0"/>
    <w:rsid w:val="009874F9"/>
    <w:rsid w:val="0099161D"/>
    <w:rsid w:val="009C5F41"/>
    <w:rsid w:val="009D2130"/>
    <w:rsid w:val="009F6B11"/>
    <w:rsid w:val="00A01B17"/>
    <w:rsid w:val="00A0389B"/>
    <w:rsid w:val="00A15B35"/>
    <w:rsid w:val="00A26017"/>
    <w:rsid w:val="00A446C9"/>
    <w:rsid w:val="00A47FD9"/>
    <w:rsid w:val="00A56C33"/>
    <w:rsid w:val="00A635D6"/>
    <w:rsid w:val="00A72757"/>
    <w:rsid w:val="00A800A9"/>
    <w:rsid w:val="00A82AF9"/>
    <w:rsid w:val="00A8553A"/>
    <w:rsid w:val="00A858C1"/>
    <w:rsid w:val="00A93AED"/>
    <w:rsid w:val="00AB0867"/>
    <w:rsid w:val="00AD280E"/>
    <w:rsid w:val="00AD4086"/>
    <w:rsid w:val="00AE1319"/>
    <w:rsid w:val="00AE34BB"/>
    <w:rsid w:val="00AF00B4"/>
    <w:rsid w:val="00B0084A"/>
    <w:rsid w:val="00B02B56"/>
    <w:rsid w:val="00B0510E"/>
    <w:rsid w:val="00B0520E"/>
    <w:rsid w:val="00B113FD"/>
    <w:rsid w:val="00B149D1"/>
    <w:rsid w:val="00B226F2"/>
    <w:rsid w:val="00B274DF"/>
    <w:rsid w:val="00B351F6"/>
    <w:rsid w:val="00B56BDF"/>
    <w:rsid w:val="00B65812"/>
    <w:rsid w:val="00B661C7"/>
    <w:rsid w:val="00B80530"/>
    <w:rsid w:val="00B85CD6"/>
    <w:rsid w:val="00B90A27"/>
    <w:rsid w:val="00B93C77"/>
    <w:rsid w:val="00B9554D"/>
    <w:rsid w:val="00BA083C"/>
    <w:rsid w:val="00BA4DA9"/>
    <w:rsid w:val="00BB2B9F"/>
    <w:rsid w:val="00BB7D9E"/>
    <w:rsid w:val="00BC2334"/>
    <w:rsid w:val="00BD3CB8"/>
    <w:rsid w:val="00BD4E6F"/>
    <w:rsid w:val="00BE2972"/>
    <w:rsid w:val="00BE700D"/>
    <w:rsid w:val="00BF32F0"/>
    <w:rsid w:val="00BF3D09"/>
    <w:rsid w:val="00BF4DCE"/>
    <w:rsid w:val="00C02DDD"/>
    <w:rsid w:val="00C05401"/>
    <w:rsid w:val="00C05CE5"/>
    <w:rsid w:val="00C1544D"/>
    <w:rsid w:val="00C333A4"/>
    <w:rsid w:val="00C41E58"/>
    <w:rsid w:val="00C52A4D"/>
    <w:rsid w:val="00C6171E"/>
    <w:rsid w:val="00C84C6A"/>
    <w:rsid w:val="00C860EC"/>
    <w:rsid w:val="00C865DF"/>
    <w:rsid w:val="00C92663"/>
    <w:rsid w:val="00C938AB"/>
    <w:rsid w:val="00CA6F2C"/>
    <w:rsid w:val="00CC6AC4"/>
    <w:rsid w:val="00CC79CE"/>
    <w:rsid w:val="00CD0785"/>
    <w:rsid w:val="00CF1871"/>
    <w:rsid w:val="00D019CE"/>
    <w:rsid w:val="00D1133E"/>
    <w:rsid w:val="00D174F7"/>
    <w:rsid w:val="00D17A34"/>
    <w:rsid w:val="00D26628"/>
    <w:rsid w:val="00D332B3"/>
    <w:rsid w:val="00D423E5"/>
    <w:rsid w:val="00D46B5A"/>
    <w:rsid w:val="00D50B3E"/>
    <w:rsid w:val="00D55207"/>
    <w:rsid w:val="00D554A5"/>
    <w:rsid w:val="00D60825"/>
    <w:rsid w:val="00D81801"/>
    <w:rsid w:val="00D92B45"/>
    <w:rsid w:val="00D95962"/>
    <w:rsid w:val="00DC389B"/>
    <w:rsid w:val="00DC5654"/>
    <w:rsid w:val="00DC67FC"/>
    <w:rsid w:val="00DD33A6"/>
    <w:rsid w:val="00DD77CE"/>
    <w:rsid w:val="00DE2FEE"/>
    <w:rsid w:val="00E00BE9"/>
    <w:rsid w:val="00E04761"/>
    <w:rsid w:val="00E22A11"/>
    <w:rsid w:val="00E31E5C"/>
    <w:rsid w:val="00E3590B"/>
    <w:rsid w:val="00E44DD2"/>
    <w:rsid w:val="00E558C3"/>
    <w:rsid w:val="00E55927"/>
    <w:rsid w:val="00E56865"/>
    <w:rsid w:val="00E912A6"/>
    <w:rsid w:val="00EA17DB"/>
    <w:rsid w:val="00EA4844"/>
    <w:rsid w:val="00EA4D9C"/>
    <w:rsid w:val="00EA5A97"/>
    <w:rsid w:val="00EB75EE"/>
    <w:rsid w:val="00EC1C32"/>
    <w:rsid w:val="00EE4C1D"/>
    <w:rsid w:val="00EF3685"/>
    <w:rsid w:val="00F04350"/>
    <w:rsid w:val="00F133DB"/>
    <w:rsid w:val="00F159EB"/>
    <w:rsid w:val="00F25BF4"/>
    <w:rsid w:val="00F267DB"/>
    <w:rsid w:val="00F3340A"/>
    <w:rsid w:val="00F41E17"/>
    <w:rsid w:val="00F43841"/>
    <w:rsid w:val="00F46F6F"/>
    <w:rsid w:val="00F60608"/>
    <w:rsid w:val="00F62217"/>
    <w:rsid w:val="00F71ACC"/>
    <w:rsid w:val="00F9211E"/>
    <w:rsid w:val="00FA3A25"/>
    <w:rsid w:val="00FB0C9A"/>
    <w:rsid w:val="00FB17A9"/>
    <w:rsid w:val="00FB2C1A"/>
    <w:rsid w:val="00FB527C"/>
    <w:rsid w:val="00FB6F75"/>
    <w:rsid w:val="00FC0EB3"/>
    <w:rsid w:val="00FC2714"/>
    <w:rsid w:val="00FD675E"/>
    <w:rsid w:val="00FE5674"/>
    <w:rsid w:val="00FF6C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5EE423"/>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18"/>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eastAsiaTheme="majorEastAsia" w:cstheme="majorBidi"/>
      <w:b/>
      <w:caps/>
      <w:color w:val="00558C"/>
      <w:sz w:val="24"/>
      <w:szCs w:val="24"/>
      <w:lang w:eastAsia="en-US"/>
    </w:rPr>
  </w:style>
  <w:style w:type="paragraph" w:customStyle="1" w:styleId="Annex">
    <w:name w:val="Annex"/>
    <w:next w:val="BodyText"/>
    <w:link w:val="AnnexChar"/>
    <w:qFormat/>
    <w:rsid w:val="0025741F"/>
    <w:pPr>
      <w:numPr>
        <w:numId w:val="13"/>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11"/>
      </w:numPr>
      <w:spacing w:after="120"/>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12"/>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1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7"/>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eastAsiaTheme="majorEastAsia"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eastAsiaTheme="majorEastAsia" w:cstheme="majorBidi"/>
      <w:b/>
      <w:iCs/>
      <w:color w:val="00558C"/>
      <w:sz w:val="22"/>
      <w:szCs w:val="24"/>
      <w:lang w:eastAsia="en-US"/>
    </w:rPr>
  </w:style>
  <w:style w:type="character" w:customStyle="1" w:styleId="Heading5Char">
    <w:name w:val="Heading 5 Char"/>
    <w:basedOn w:val="DefaultParagraphFont"/>
    <w:link w:val="Heading5"/>
    <w:rsid w:val="0025741F"/>
    <w:rPr>
      <w:rFonts w:eastAsiaTheme="majorEastAsia"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10"/>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10"/>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9"/>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10"/>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20"/>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20"/>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13"/>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16"/>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15"/>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23"/>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23"/>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14"/>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25"/>
      </w:numPr>
      <w:jc w:val="center"/>
    </w:pPr>
    <w:rPr>
      <w:i/>
      <w:color w:val="00558C"/>
      <w:lang w:eastAsia="en-GB"/>
    </w:rPr>
  </w:style>
  <w:style w:type="paragraph" w:customStyle="1" w:styleId="Figurecaption">
    <w:name w:val="Figure caption"/>
    <w:basedOn w:val="Caption"/>
    <w:next w:val="BodyText"/>
    <w:qFormat/>
    <w:rsid w:val="0025741F"/>
    <w:pPr>
      <w:numPr>
        <w:numId w:val="17"/>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8"/>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21"/>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22"/>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24"/>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20"/>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paragraph" w:customStyle="1" w:styleId="AnnexCHead1">
    <w:name w:val="Annex C Head 1"/>
    <w:basedOn w:val="Normal"/>
    <w:next w:val="Normal"/>
    <w:rsid w:val="00C1544D"/>
    <w:pPr>
      <w:numPr>
        <w:numId w:val="26"/>
      </w:numPr>
      <w:spacing w:before="240" w:after="120"/>
    </w:pPr>
    <w:rPr>
      <w:rFonts w:eastAsiaTheme="minorEastAsia"/>
      <w:b/>
      <w:caps/>
      <w:color w:val="407EC9"/>
      <w:sz w:val="28"/>
    </w:rPr>
  </w:style>
  <w:style w:type="paragraph" w:customStyle="1" w:styleId="AnnexCHead2">
    <w:name w:val="Annex C Head 2"/>
    <w:basedOn w:val="Normal"/>
    <w:next w:val="Heading2separationline"/>
    <w:rsid w:val="00C1544D"/>
    <w:pPr>
      <w:numPr>
        <w:ilvl w:val="1"/>
        <w:numId w:val="26"/>
      </w:numPr>
    </w:pPr>
    <w:rPr>
      <w:rFonts w:eastAsiaTheme="minorEastAsia"/>
      <w:b/>
      <w:caps/>
      <w:color w:val="407EC9"/>
      <w:sz w:val="24"/>
    </w:rPr>
  </w:style>
  <w:style w:type="paragraph" w:customStyle="1" w:styleId="AnnexCHead3">
    <w:name w:val="Annex C Head 3"/>
    <w:basedOn w:val="Normal"/>
    <w:rsid w:val="00C1544D"/>
    <w:pPr>
      <w:numPr>
        <w:ilvl w:val="2"/>
        <w:numId w:val="26"/>
      </w:numPr>
      <w:spacing w:before="120" w:after="120"/>
    </w:pPr>
    <w:rPr>
      <w:rFonts w:eastAsiaTheme="minorEastAsia"/>
      <w:b/>
      <w:smallCaps/>
      <w:color w:val="407EC9"/>
      <w:sz w:val="22"/>
    </w:rPr>
  </w:style>
  <w:style w:type="paragraph" w:customStyle="1" w:styleId="AnnexCHead4">
    <w:name w:val="Annex C Head 4"/>
    <w:basedOn w:val="Normal"/>
    <w:next w:val="BodyText"/>
    <w:rsid w:val="00C1544D"/>
    <w:pPr>
      <w:numPr>
        <w:ilvl w:val="3"/>
        <w:numId w:val="26"/>
      </w:numPr>
      <w:spacing w:before="120" w:after="120"/>
    </w:pPr>
    <w:rPr>
      <w:rFonts w:eastAsiaTheme="minorEastAsia"/>
      <w:b/>
      <w:color w:val="407EC9"/>
      <w:sz w:val="22"/>
      <w:lang w:eastAsia="de-DE"/>
    </w:rPr>
  </w:style>
  <w:style w:type="character" w:styleId="UnresolvedMention">
    <w:name w:val="Unresolved Mention"/>
    <w:basedOn w:val="DefaultParagraphFont"/>
    <w:uiPriority w:val="99"/>
    <w:semiHidden/>
    <w:unhideWhenUsed/>
    <w:rsid w:val="00250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99856">
      <w:bodyDiv w:val="1"/>
      <w:marLeft w:val="0"/>
      <w:marRight w:val="0"/>
      <w:marTop w:val="0"/>
      <w:marBottom w:val="0"/>
      <w:divBdr>
        <w:top w:val="none" w:sz="0" w:space="0" w:color="auto"/>
        <w:left w:val="none" w:sz="0" w:space="0" w:color="auto"/>
        <w:bottom w:val="none" w:sz="0" w:space="0" w:color="auto"/>
        <w:right w:val="none" w:sz="0" w:space="0" w:color="auto"/>
      </w:divBdr>
      <w:divsChild>
        <w:div w:id="1377388103">
          <w:blockQuote w:val="1"/>
          <w:marLeft w:val="720"/>
          <w:marRight w:val="720"/>
          <w:marTop w:val="100"/>
          <w:marBottom w:val="100"/>
          <w:divBdr>
            <w:top w:val="none" w:sz="0" w:space="0" w:color="auto"/>
            <w:left w:val="none" w:sz="0" w:space="0" w:color="auto"/>
            <w:bottom w:val="none" w:sz="0" w:space="0" w:color="auto"/>
            <w:right w:val="none" w:sz="0" w:space="0" w:color="auto"/>
          </w:divBdr>
        </w:div>
        <w:div w:id="9646530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2832314">
      <w:bodyDiv w:val="1"/>
      <w:marLeft w:val="0"/>
      <w:marRight w:val="0"/>
      <w:marTop w:val="0"/>
      <w:marBottom w:val="0"/>
      <w:divBdr>
        <w:top w:val="none" w:sz="0" w:space="0" w:color="auto"/>
        <w:left w:val="none" w:sz="0" w:space="0" w:color="auto"/>
        <w:bottom w:val="none" w:sz="0" w:space="0" w:color="auto"/>
        <w:right w:val="none" w:sz="0" w:space="0" w:color="auto"/>
      </w:divBdr>
    </w:div>
    <w:div w:id="652760606">
      <w:bodyDiv w:val="1"/>
      <w:marLeft w:val="0"/>
      <w:marRight w:val="0"/>
      <w:marTop w:val="0"/>
      <w:marBottom w:val="0"/>
      <w:divBdr>
        <w:top w:val="none" w:sz="0" w:space="0" w:color="auto"/>
        <w:left w:val="none" w:sz="0" w:space="0" w:color="auto"/>
        <w:bottom w:val="none" w:sz="0" w:space="0" w:color="auto"/>
        <w:right w:val="none" w:sz="0" w:space="0" w:color="auto"/>
      </w:divBdr>
      <w:divsChild>
        <w:div w:id="1620842223">
          <w:blockQuote w:val="1"/>
          <w:marLeft w:val="720"/>
          <w:marRight w:val="720"/>
          <w:marTop w:val="100"/>
          <w:marBottom w:val="100"/>
          <w:divBdr>
            <w:top w:val="none" w:sz="0" w:space="0" w:color="auto"/>
            <w:left w:val="none" w:sz="0" w:space="0" w:color="auto"/>
            <w:bottom w:val="none" w:sz="0" w:space="0" w:color="auto"/>
            <w:right w:val="none" w:sz="0" w:space="0" w:color="auto"/>
          </w:divBdr>
        </w:div>
        <w:div w:id="18884447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5735925">
      <w:bodyDiv w:val="1"/>
      <w:marLeft w:val="0"/>
      <w:marRight w:val="0"/>
      <w:marTop w:val="0"/>
      <w:marBottom w:val="0"/>
      <w:divBdr>
        <w:top w:val="none" w:sz="0" w:space="0" w:color="auto"/>
        <w:left w:val="none" w:sz="0" w:space="0" w:color="auto"/>
        <w:bottom w:val="none" w:sz="0" w:space="0" w:color="auto"/>
        <w:right w:val="none" w:sz="0" w:space="0" w:color="auto"/>
      </w:divBdr>
    </w:div>
    <w:div w:id="1161699880">
      <w:bodyDiv w:val="1"/>
      <w:marLeft w:val="0"/>
      <w:marRight w:val="0"/>
      <w:marTop w:val="0"/>
      <w:marBottom w:val="0"/>
      <w:divBdr>
        <w:top w:val="none" w:sz="0" w:space="0" w:color="auto"/>
        <w:left w:val="none" w:sz="0" w:space="0" w:color="auto"/>
        <w:bottom w:val="none" w:sz="0" w:space="0" w:color="auto"/>
        <w:right w:val="none" w:sz="0" w:space="0" w:color="auto"/>
      </w:divBdr>
      <w:divsChild>
        <w:div w:id="744452686">
          <w:blockQuote w:val="1"/>
          <w:marLeft w:val="720"/>
          <w:marRight w:val="720"/>
          <w:marTop w:val="100"/>
          <w:marBottom w:val="100"/>
          <w:divBdr>
            <w:top w:val="none" w:sz="0" w:space="0" w:color="auto"/>
            <w:left w:val="none" w:sz="0" w:space="0" w:color="auto"/>
            <w:bottom w:val="none" w:sz="0" w:space="0" w:color="auto"/>
            <w:right w:val="none" w:sz="0" w:space="0" w:color="auto"/>
          </w:divBdr>
        </w:div>
        <w:div w:id="976034052">
          <w:blockQuote w:val="1"/>
          <w:marLeft w:val="720"/>
          <w:marRight w:val="720"/>
          <w:marTop w:val="100"/>
          <w:marBottom w:val="100"/>
          <w:divBdr>
            <w:top w:val="none" w:sz="0" w:space="0" w:color="auto"/>
            <w:left w:val="none" w:sz="0" w:space="0" w:color="auto"/>
            <w:bottom w:val="none" w:sz="0" w:space="0" w:color="auto"/>
            <w:right w:val="none" w:sz="0" w:space="0" w:color="auto"/>
          </w:divBdr>
        </w:div>
        <w:div w:id="12270363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7518365">
      <w:bodyDiv w:val="1"/>
      <w:marLeft w:val="0"/>
      <w:marRight w:val="0"/>
      <w:marTop w:val="0"/>
      <w:marBottom w:val="0"/>
      <w:divBdr>
        <w:top w:val="none" w:sz="0" w:space="0" w:color="auto"/>
        <w:left w:val="none" w:sz="0" w:space="0" w:color="auto"/>
        <w:bottom w:val="none" w:sz="0" w:space="0" w:color="auto"/>
        <w:right w:val="none" w:sz="0" w:space="0" w:color="auto"/>
      </w:divBdr>
      <w:divsChild>
        <w:div w:id="1883786450">
          <w:blockQuote w:val="1"/>
          <w:marLeft w:val="720"/>
          <w:marRight w:val="720"/>
          <w:marTop w:val="100"/>
          <w:marBottom w:val="100"/>
          <w:divBdr>
            <w:top w:val="none" w:sz="0" w:space="0" w:color="auto"/>
            <w:left w:val="none" w:sz="0" w:space="0" w:color="auto"/>
            <w:bottom w:val="none" w:sz="0" w:space="0" w:color="auto"/>
            <w:right w:val="none" w:sz="0" w:space="0" w:color="auto"/>
          </w:divBdr>
        </w:div>
        <w:div w:id="1153333550">
          <w:blockQuote w:val="1"/>
          <w:marLeft w:val="720"/>
          <w:marRight w:val="720"/>
          <w:marTop w:val="100"/>
          <w:marBottom w:val="100"/>
          <w:divBdr>
            <w:top w:val="none" w:sz="0" w:space="0" w:color="auto"/>
            <w:left w:val="none" w:sz="0" w:space="0" w:color="auto"/>
            <w:bottom w:val="none" w:sz="0" w:space="0" w:color="auto"/>
            <w:right w:val="none" w:sz="0" w:space="0" w:color="auto"/>
          </w:divBdr>
        </w:div>
        <w:div w:id="20716167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5CF2A-2769-49C9-BE26-DC6EB0BB4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3.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3</Pages>
  <Words>1134</Words>
  <Characters>6276</Characters>
  <Application>Microsoft Office Word</Application>
  <DocSecurity>0</DocSecurity>
  <Lines>130</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to Strengthen Climate Resilience Requirements in Guideline G1111-3</dc:title>
  <dc:subject>Proposed amendments to IALA Guideline G1111-3</dc:subject>
  <dc:creator>DiNav Marine Oy</dc:creator>
  <cp:keywords>IALA, VTS, radar, climate resilience, extreme weather, G1111-3</cp:keywords>
  <cp:lastModifiedBy>Tom Southall</cp:lastModifiedBy>
  <cp:revision>2</cp:revision>
  <dcterms:created xsi:type="dcterms:W3CDTF">2026-08-16T14:39:00Z</dcterms:created>
  <dcterms:modified xsi:type="dcterms:W3CDTF">2026-08-16T14:39:00Z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ies>
</file>